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28C8F4D3"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33715724"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FA733C">
        <w:rPr>
          <w:rFonts w:eastAsiaTheme="minorEastAsia"/>
          <w:sz w:val="20"/>
        </w:rPr>
        <w:t>7WDRL</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Wind Velocity (mph/m per sec):  ________.</w:t>
      </w:r>
    </w:p>
    <w:p w14:paraId="6EDE8E0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Rainfall Rate (inches/mm):  ________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0DBFCC4F"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Depth: </w:t>
      </w:r>
      <w:r w:rsidR="00FA733C">
        <w:rPr>
          <w:rFonts w:eastAsiaTheme="minorEastAsia"/>
          <w:sz w:val="20"/>
        </w:rPr>
        <w:t>7</w:t>
      </w:r>
      <w:r w:rsidRPr="001E0268">
        <w:rPr>
          <w:rFonts w:eastAsiaTheme="minorEastAsia"/>
          <w:sz w:val="20"/>
        </w:rPr>
        <w:t xml:space="preserve"> inches ( mm)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16536CE0"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Percent Free Area: </w:t>
      </w:r>
      <w:r w:rsidR="00FA733C">
        <w:rPr>
          <w:rFonts w:eastAsiaTheme="minorEastAsia"/>
          <w:sz w:val="20"/>
        </w:rPr>
        <w:t>47</w:t>
      </w:r>
      <w:r w:rsidRPr="001E0268">
        <w:rPr>
          <w:rFonts w:eastAsiaTheme="minorEastAsia"/>
          <w:sz w:val="20"/>
        </w:rPr>
        <w:t xml:space="preserve"> percent.</w:t>
      </w:r>
    </w:p>
    <w:p w14:paraId="27D967F0" w14:textId="33363105"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Beginning Point of Water Penetration:  fpm </w:t>
      </w:r>
      <w:proofErr w:type="gramStart"/>
      <w:r w:rsidRPr="001E0268">
        <w:rPr>
          <w:rFonts w:eastAsiaTheme="minorEastAsia"/>
          <w:sz w:val="20"/>
        </w:rPr>
        <w:t>( m</w:t>
      </w:r>
      <w:proofErr w:type="gramEnd"/>
      <w:r w:rsidRPr="001E0268">
        <w:rPr>
          <w:rFonts w:eastAsiaTheme="minorEastAsia"/>
          <w:sz w:val="20"/>
        </w:rPr>
        <w:t xml:space="preserve"> per sec).</w:t>
      </w:r>
    </w:p>
    <w:p w14:paraId="5A751CEE" w14:textId="6CB95E2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Air Volume Flow Rate at Beginning Point of Water Penetration:   cfm </w:t>
      </w:r>
      <w:proofErr w:type="gramStart"/>
      <w:r w:rsidRPr="001E0268">
        <w:rPr>
          <w:rFonts w:eastAsiaTheme="minorEastAsia"/>
          <w:sz w:val="20"/>
        </w:rPr>
        <w:t>( cu</w:t>
      </w:r>
      <w:proofErr w:type="gramEnd"/>
      <w:r w:rsidRPr="001E0268">
        <w:rPr>
          <w:rFonts w:eastAsiaTheme="minorEastAsia"/>
          <w:sz w:val="20"/>
        </w:rPr>
        <w:t xml:space="preserve"> m per sec).</w:t>
      </w:r>
    </w:p>
    <w:p w14:paraId="59E3BFE2" w14:textId="36B088D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Pressure Drop at Beginning Point of Water Penetration:   inches WC </w:t>
      </w:r>
      <w:proofErr w:type="gramStart"/>
      <w:r w:rsidRPr="001E0268">
        <w:rPr>
          <w:rFonts w:eastAsiaTheme="minorEastAsia"/>
          <w:sz w:val="20"/>
        </w:rPr>
        <w:t>( kPa</w:t>
      </w:r>
      <w:proofErr w:type="gramEnd"/>
      <w:r w:rsidRPr="001E0268">
        <w:rPr>
          <w:rFonts w:eastAsiaTheme="minorEastAsia"/>
          <w:sz w:val="20"/>
        </w:rPr>
        <w:t>).</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w:t>
      </w:r>
      <w:proofErr w:type="gramStart"/>
      <w:r w:rsidRPr="001E0268">
        <w:rPr>
          <w:rFonts w:eastAsiaTheme="minorEastAsia"/>
          <w:sz w:val="20"/>
        </w:rPr>
        <w:t>Rain Water</w:t>
      </w:r>
      <w:proofErr w:type="gramEnd"/>
      <w:r w:rsidRPr="001E0268">
        <w:rPr>
          <w:rFonts w:eastAsiaTheme="minorEastAsia"/>
          <w:sz w:val="20"/>
        </w:rPr>
        <w:t xml:space="preserve"> Penetration Test:  </w:t>
      </w:r>
    </w:p>
    <w:p w14:paraId="266BDB97" w14:textId="126A63E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 xml:space="preserve">Exterior Wind Velocity:   mph </w:t>
      </w:r>
      <w:proofErr w:type="gramStart"/>
      <w:r w:rsidRPr="001E0268">
        <w:rPr>
          <w:rFonts w:eastAsiaTheme="minorEastAsia"/>
          <w:sz w:val="20"/>
        </w:rPr>
        <w:t>( m</w:t>
      </w:r>
      <w:proofErr w:type="gramEnd"/>
      <w:r w:rsidRPr="001E0268">
        <w:rPr>
          <w:rFonts w:eastAsiaTheme="minorEastAsia"/>
          <w:sz w:val="20"/>
        </w:rPr>
        <w:t xml:space="preserve">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481CC4"/>
    <w:rsid w:val="00492468"/>
    <w:rsid w:val="00517005"/>
    <w:rsid w:val="005B5F9D"/>
    <w:rsid w:val="00691CBF"/>
    <w:rsid w:val="008C03BF"/>
    <w:rsid w:val="008C506C"/>
    <w:rsid w:val="009249BD"/>
    <w:rsid w:val="009F0894"/>
    <w:rsid w:val="00A13E51"/>
    <w:rsid w:val="00A772EB"/>
    <w:rsid w:val="00BA52CD"/>
    <w:rsid w:val="00DB0CEF"/>
    <w:rsid w:val="00ED2A7F"/>
    <w:rsid w:val="00FA733C"/>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4191</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2020-10-07T21:35:00Z</dcterms:created>
  <dcterms:modified xsi:type="dcterms:W3CDTF">2021-02-12T14:17:00Z</dcterms:modified>
</cp:coreProperties>
</file>